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D0" w:rsidRDefault="005111D0" w:rsidP="005111D0">
      <w:pPr>
        <w:spacing w:after="12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190C87" w:rsidRDefault="00190C87" w:rsidP="00190C87">
      <w:pPr>
        <w:spacing w:after="120" w:line="360" w:lineRule="auto"/>
        <w:ind w:right="-503"/>
        <w:jc w:val="right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724025" cy="495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1D0" w:rsidRPr="005111D0" w:rsidRDefault="005111D0" w:rsidP="005111D0">
      <w:pPr>
        <w:spacing w:after="12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111D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GRUPOWE UBEZPIECZENIE NA ŻYCIE INTER MEDYK LIFE</w:t>
      </w:r>
    </w:p>
    <w:p w:rsidR="005111D0" w:rsidRPr="00190C87" w:rsidRDefault="005111D0" w:rsidP="005111D0">
      <w:pPr>
        <w:spacing w:after="12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190C87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Dla osób wykonujących zawód medyczny</w:t>
      </w:r>
    </w:p>
    <w:p w:rsidR="005111D0" w:rsidRPr="00190C87" w:rsidRDefault="005111D0" w:rsidP="005111D0">
      <w:pPr>
        <w:spacing w:after="120" w:line="240" w:lineRule="auto"/>
        <w:ind w:left="-567" w:right="-361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190C87">
        <w:rPr>
          <w:rFonts w:ascii="Arial Narrow" w:eastAsia="Times New Roman" w:hAnsi="Arial Narrow" w:cs="Times New Roman"/>
          <w:sz w:val="24"/>
          <w:szCs w:val="24"/>
          <w:lang w:eastAsia="pl-PL"/>
        </w:rPr>
        <w:t>Do Grupy INTER Medyk Life</w:t>
      </w:r>
      <w:r w:rsidRPr="00190C8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</w:t>
      </w:r>
      <w:r w:rsidRPr="00190C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mogą  przystąpić   </w:t>
      </w:r>
      <w:r w:rsidRPr="00190C8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współmałżonkowie, partnerzy lub </w:t>
      </w:r>
      <w:r w:rsidRPr="00190C8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190C87">
        <w:rPr>
          <w:rFonts w:ascii="Arial Narrow" w:eastAsia="Times New Roman" w:hAnsi="Arial Narrow" w:cs="Arial"/>
          <w:bCs/>
          <w:sz w:val="24"/>
          <w:szCs w:val="24"/>
          <w:lang w:eastAsia="pl-PL"/>
        </w:rPr>
        <w:t>dorosłe dzieci,</w:t>
      </w:r>
      <w:r w:rsidRPr="00190C8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</w:t>
      </w:r>
      <w:r w:rsidRPr="00190C8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osób posiadających lub przystępujących do ubezpieczenia  </w:t>
      </w:r>
      <w:r w:rsidRPr="00190C87">
        <w:rPr>
          <w:rFonts w:ascii="Arial Narrow" w:eastAsia="Times New Roman" w:hAnsi="Arial Narrow" w:cs="Times New Roman"/>
          <w:sz w:val="24"/>
          <w:szCs w:val="24"/>
          <w:lang w:eastAsia="pl-PL"/>
        </w:rPr>
        <w:t>INTER Medyk Life</w:t>
      </w:r>
      <w:r w:rsidRPr="00190C87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  </w:t>
      </w:r>
    </w:p>
    <w:p w:rsidR="005111D0" w:rsidRPr="00190C87" w:rsidRDefault="005111D0" w:rsidP="005111D0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bCs/>
          <w:iCs/>
          <w:sz w:val="24"/>
          <w:szCs w:val="24"/>
          <w:lang w:eastAsia="pl-PL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27"/>
        <w:gridCol w:w="1275"/>
        <w:gridCol w:w="1276"/>
        <w:gridCol w:w="1134"/>
        <w:gridCol w:w="1060"/>
      </w:tblGrid>
      <w:tr w:rsidR="005111D0" w:rsidRPr="005111D0" w:rsidTr="002D44AB">
        <w:trPr>
          <w:cantSplit/>
          <w:trHeight w:val="255"/>
        </w:trPr>
        <w:tc>
          <w:tcPr>
            <w:tcW w:w="5427" w:type="dxa"/>
            <w:vMerge w:val="restart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</w:pPr>
          </w:p>
          <w:p w:rsidR="005111D0" w:rsidRPr="005111D0" w:rsidRDefault="005111D0" w:rsidP="00190C87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  <w:t>ZAKRES ŚWIADCZENIA</w:t>
            </w:r>
          </w:p>
        </w:tc>
        <w:tc>
          <w:tcPr>
            <w:tcW w:w="3685" w:type="dxa"/>
            <w:gridSpan w:val="3"/>
          </w:tcPr>
          <w:p w:rsidR="005111D0" w:rsidRPr="005111D0" w:rsidRDefault="005111D0" w:rsidP="00190C87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  <w:t>Świadczenia do wypłaty</w:t>
            </w:r>
          </w:p>
        </w:tc>
        <w:tc>
          <w:tcPr>
            <w:tcW w:w="1060" w:type="dxa"/>
            <w:vMerge w:val="restart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  <w:t>Okres karencji</w:t>
            </w:r>
          </w:p>
        </w:tc>
      </w:tr>
      <w:tr w:rsidR="005111D0" w:rsidRPr="005111D0" w:rsidTr="002D44AB">
        <w:trPr>
          <w:cantSplit/>
          <w:trHeight w:val="255"/>
        </w:trPr>
        <w:tc>
          <w:tcPr>
            <w:tcW w:w="5427" w:type="dxa"/>
            <w:vMerge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  <w:t>Wariant I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  <w:t>Wariant II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  <w:t>Wariant III</w:t>
            </w:r>
          </w:p>
        </w:tc>
        <w:tc>
          <w:tcPr>
            <w:tcW w:w="1060" w:type="dxa"/>
            <w:vMerge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</w:pP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Śmierć Ubezpieczonego w wyniku NW komunikacyjnego przy pracy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80 000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100 000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130 000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Śmierć Ubezpieczonego w wyniku NW przy pracy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60 000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80 000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110 000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 xml:space="preserve">Śmierć Ubezpieczonego w wyniku NW komunikacyjnego 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60 000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80 000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110 000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Śmierć Ubezpieczonego w wyniku zawału serca lub udaru mózgu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50 000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70 000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90 000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6 miesięcy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Śmierć Ubezpieczonego w wyniku NW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50 000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70 000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90 000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Śmierć Ubezpieczonego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25 000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35 000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45 000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6 miesięcy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Trwały uszczerbek na zdrowiu Ubezpieczonego w wyniku NW za 1%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400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Trwały uszczerbek na zdrowiu Ubezpieczonego w wyniku zawału za 1%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300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400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3 miesiące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Poważne zachorowanie Ubezpieczonego*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4 000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7 000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90 dni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 xml:space="preserve">Pobyt Ubezpieczonego w szpitalu w wyniku NW </w:t>
            </w:r>
          </w:p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stawka dzienna – płatne do 14 dni</w:t>
            </w:r>
          </w:p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stawka dzienna – płatne za kolejne dni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100 zł</w:t>
            </w: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120 zł</w:t>
            </w: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60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150 zł</w:t>
            </w: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75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 xml:space="preserve">Pobyt Ubezpieczonego w szpitalu z powodu choroby </w:t>
            </w:r>
          </w:p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stawka dzienna – płatne do 14 dni</w:t>
            </w:r>
          </w:p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stawka dzienna – płatne za kolejne dni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50 zł</w:t>
            </w: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25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60 zł</w:t>
            </w: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30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75 zł</w:t>
            </w: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38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30 dni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Pobyt Ubezpieczonego na OIOM (powyżej 48 godzin)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600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750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30 dni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Śmierć współmałżonka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10 000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12 000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14 000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6 miesięcy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Śmierć współmałżonka w wyniku NW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15 000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18 000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21 000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Śmierć dziecka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6 000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7 000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6 miesięcy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Śmierć dziecka w wyniku NW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10 000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12 000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14 000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Urodzenie dziecka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800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1 200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1 500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9 miesięcy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Urodzenie dziecka z wadą wrodzoną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2 000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3 000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4 000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9 miesięcy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Urodzenie martwego dziecka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2 000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3 000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4 000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3 miesiące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Osierocenie dziecka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3 500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4 500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5 500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6 miesięcy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Śmierć rodzica lub teścia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1 200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1 500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6 miesięcy</w:t>
            </w:r>
          </w:p>
        </w:tc>
      </w:tr>
      <w:tr w:rsidR="005111D0" w:rsidRPr="005111D0" w:rsidTr="002D44AB"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Operacja chirurgiczna Ubezpieczonego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2 000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3 000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180 dni</w:t>
            </w:r>
          </w:p>
        </w:tc>
      </w:tr>
      <w:tr w:rsidR="005111D0" w:rsidRPr="005111D0" w:rsidTr="002D44AB">
        <w:trPr>
          <w:trHeight w:val="352"/>
        </w:trPr>
        <w:tc>
          <w:tcPr>
            <w:tcW w:w="5427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4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right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Składka miesięczna</w:t>
            </w:r>
          </w:p>
        </w:tc>
        <w:tc>
          <w:tcPr>
            <w:tcW w:w="1275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47 zł</w:t>
            </w:r>
          </w:p>
        </w:tc>
        <w:tc>
          <w:tcPr>
            <w:tcW w:w="1276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67 zł</w:t>
            </w:r>
          </w:p>
        </w:tc>
        <w:tc>
          <w:tcPr>
            <w:tcW w:w="1134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</w:pPr>
          </w:p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87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Cs w:val="24"/>
                <w:lang w:eastAsia="pl-PL"/>
              </w:rPr>
            </w:pPr>
          </w:p>
        </w:tc>
      </w:tr>
    </w:tbl>
    <w:p w:rsidR="005111D0" w:rsidRDefault="005111D0" w:rsidP="005111D0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iCs/>
          <w:sz w:val="24"/>
          <w:szCs w:val="24"/>
          <w:u w:val="single"/>
          <w:lang w:eastAsia="pl-PL"/>
        </w:rPr>
      </w:pPr>
    </w:p>
    <w:p w:rsidR="00190C87" w:rsidRPr="005111D0" w:rsidRDefault="00190C87" w:rsidP="005111D0">
      <w:pPr>
        <w:keepNext/>
        <w:spacing w:after="0" w:line="240" w:lineRule="auto"/>
        <w:outlineLvl w:val="3"/>
        <w:rPr>
          <w:rFonts w:ascii="Arial Narrow" w:eastAsia="Times New Roman" w:hAnsi="Arial Narrow" w:cs="Times New Roman"/>
          <w:b/>
          <w:bCs/>
          <w:iCs/>
          <w:sz w:val="24"/>
          <w:szCs w:val="24"/>
          <w:u w:val="single"/>
          <w:lang w:eastAsia="pl-PL"/>
        </w:rPr>
      </w:pPr>
      <w:bookmarkStart w:id="0" w:name="_GoBack"/>
      <w:bookmarkEnd w:id="0"/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1"/>
        <w:gridCol w:w="1552"/>
        <w:gridCol w:w="1060"/>
      </w:tblGrid>
      <w:tr w:rsidR="005111D0" w:rsidRPr="005111D0" w:rsidTr="002D44AB">
        <w:tc>
          <w:tcPr>
            <w:tcW w:w="7521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Cs w:val="24"/>
                <w:lang w:eastAsia="pl-PL"/>
              </w:rPr>
              <w:t>DODATKOWY PAKIET RYZYK MEDYCZNYCH DO KAŻDEGO WARIANTU</w:t>
            </w:r>
          </w:p>
        </w:tc>
        <w:tc>
          <w:tcPr>
            <w:tcW w:w="1552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4"/>
                <w:lang w:eastAsia="pl-PL"/>
              </w:rPr>
              <w:t>Świadczenia      do wypłaty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4"/>
                <w:lang w:eastAsia="pl-PL"/>
              </w:rPr>
              <w:t>Okres karencji</w:t>
            </w:r>
          </w:p>
        </w:tc>
      </w:tr>
      <w:tr w:rsidR="005111D0" w:rsidRPr="005111D0" w:rsidTr="002D44AB">
        <w:tc>
          <w:tcPr>
            <w:tcW w:w="7521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Trwałe uszkodzenie wzroku w wyniku ekspozycji Ubezpieczonego na promieniowanie laserowe podczas wykonywania pracy</w:t>
            </w:r>
          </w:p>
        </w:tc>
        <w:tc>
          <w:tcPr>
            <w:tcW w:w="1552" w:type="dxa"/>
          </w:tcPr>
          <w:p w:rsidR="005111D0" w:rsidRPr="005111D0" w:rsidRDefault="00190C87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7521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Uraz kręgosłupa Ubezpieczonego w trakcie wykonywania pracy</w:t>
            </w:r>
          </w:p>
        </w:tc>
        <w:tc>
          <w:tcPr>
            <w:tcW w:w="1552" w:type="dxa"/>
          </w:tcPr>
          <w:p w:rsidR="005111D0" w:rsidRPr="005111D0" w:rsidRDefault="00190C87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7521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Przewlekłe zatrucie spowodowane ekspozycją na leki, płyny sterylizujące, gazy anestetyczne podczas wykonywanej pracy</w:t>
            </w:r>
          </w:p>
        </w:tc>
        <w:tc>
          <w:tcPr>
            <w:tcW w:w="1552" w:type="dxa"/>
          </w:tcPr>
          <w:p w:rsidR="005111D0" w:rsidRPr="005111D0" w:rsidRDefault="00190C87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60 dni</w:t>
            </w:r>
          </w:p>
        </w:tc>
      </w:tr>
      <w:tr w:rsidR="005111D0" w:rsidRPr="005111D0" w:rsidTr="002D44AB">
        <w:tc>
          <w:tcPr>
            <w:tcW w:w="7521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Trwałe uszkodzenie słuchu spowodowane ekspozycją na hałas ultradźwiękowy podczas wykonywania pracy</w:t>
            </w:r>
          </w:p>
        </w:tc>
        <w:tc>
          <w:tcPr>
            <w:tcW w:w="1552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60 dni</w:t>
            </w:r>
          </w:p>
        </w:tc>
      </w:tr>
      <w:tr w:rsidR="005111D0" w:rsidRPr="005111D0" w:rsidTr="002D44AB">
        <w:tc>
          <w:tcPr>
            <w:tcW w:w="7521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Poważne zachorowanie personelu medycznego (zarażenie wirusem HIV, zapalenie wątroby wirusem typu C)</w:t>
            </w:r>
          </w:p>
        </w:tc>
        <w:tc>
          <w:tcPr>
            <w:tcW w:w="1552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90 dni</w:t>
            </w:r>
          </w:p>
        </w:tc>
      </w:tr>
      <w:tr w:rsidR="005111D0" w:rsidRPr="005111D0" w:rsidTr="002D44AB">
        <w:tc>
          <w:tcPr>
            <w:tcW w:w="7521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Doraźna pomoc psychologiczna na wypadek stwierdzenia u Ubezpieczonego „wtórnego zespołu stresu pourazowego” w związku z wykonywaniem pracy</w:t>
            </w:r>
          </w:p>
        </w:tc>
        <w:tc>
          <w:tcPr>
            <w:tcW w:w="1552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5 000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60 dni</w:t>
            </w:r>
          </w:p>
        </w:tc>
      </w:tr>
      <w:tr w:rsidR="005111D0" w:rsidRPr="005111D0" w:rsidTr="002D44AB">
        <w:tc>
          <w:tcPr>
            <w:tcW w:w="7521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both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Trwały uszczerbek na zdrowiu Ubezpieczonego spowodowany bezpośrednią fizyczną agresją osób trzecich w miejscu pracy ( za 1 % uszczerbku)</w:t>
            </w:r>
          </w:p>
        </w:tc>
        <w:tc>
          <w:tcPr>
            <w:tcW w:w="1552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pl-PL"/>
              </w:rPr>
              <w:t>500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  <w:t>brak</w:t>
            </w:r>
          </w:p>
        </w:tc>
      </w:tr>
      <w:tr w:rsidR="005111D0" w:rsidRPr="005111D0" w:rsidTr="002D44AB">
        <w:tc>
          <w:tcPr>
            <w:tcW w:w="7521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right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pl-PL"/>
              </w:rPr>
              <w:t>Składka miesięczna</w:t>
            </w:r>
          </w:p>
        </w:tc>
        <w:tc>
          <w:tcPr>
            <w:tcW w:w="1552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5111D0">
              <w:rPr>
                <w:rFonts w:ascii="Arial Narrow" w:eastAsia="Times New Roman" w:hAnsi="Arial Narrow" w:cs="Times New Roman"/>
                <w:b/>
                <w:bCs/>
                <w:iCs/>
                <w:sz w:val="24"/>
                <w:szCs w:val="24"/>
                <w:lang w:eastAsia="pl-PL"/>
              </w:rPr>
              <w:t>7 zł</w:t>
            </w:r>
          </w:p>
        </w:tc>
        <w:tc>
          <w:tcPr>
            <w:tcW w:w="1060" w:type="dxa"/>
          </w:tcPr>
          <w:p w:rsidR="005111D0" w:rsidRPr="005111D0" w:rsidRDefault="005111D0" w:rsidP="005111D0">
            <w:pPr>
              <w:keepNext/>
              <w:spacing w:after="0" w:line="240" w:lineRule="auto"/>
              <w:jc w:val="center"/>
              <w:outlineLvl w:val="3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:rsidR="005111D0" w:rsidRPr="005111D0" w:rsidRDefault="005111D0" w:rsidP="005111D0">
      <w:pPr>
        <w:keepNext/>
        <w:spacing w:after="0" w:line="240" w:lineRule="auto"/>
        <w:ind w:left="-567"/>
        <w:jc w:val="both"/>
        <w:outlineLvl w:val="3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111D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*Wykaz poważnych zachorowań</w:t>
      </w:r>
      <w:r w:rsidR="00190C87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 xml:space="preserve"> </w:t>
      </w:r>
      <w:r w:rsidRPr="005111D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 xml:space="preserve">: chirurgiczne zabiegi na naczyniach wieńcowych (by-pass), choroba </w:t>
      </w:r>
      <w:proofErr w:type="spellStart"/>
      <w:r w:rsidRPr="005111D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Creutzfeldta-Jakoba</w:t>
      </w:r>
      <w:proofErr w:type="spellEnd"/>
      <w:r w:rsidRPr="005111D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 xml:space="preserve">, niewydolność nerek, nowotwór złośliwy, udar mózgu, utrata mowy, utrata słuchu, utrata wzroku, zawał serca, anemia </w:t>
      </w:r>
      <w:proofErr w:type="spellStart"/>
      <w:r w:rsidRPr="005111D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aplastyczna</w:t>
      </w:r>
      <w:proofErr w:type="spellEnd"/>
      <w:r w:rsidRPr="005111D0">
        <w:rPr>
          <w:rFonts w:ascii="Arial Narrow" w:eastAsia="Times New Roman" w:hAnsi="Arial Narrow" w:cs="Times New Roman"/>
          <w:iCs/>
          <w:sz w:val="20"/>
          <w:szCs w:val="24"/>
          <w:lang w:eastAsia="pl-PL"/>
        </w:rPr>
        <w:t>, choroba Parkinsona, łagodny guz mózgu, operacja aorty, oponiak, paraliż, poparzenia, przeszczep narządu, przeszczep zastawki serca, stwardnienie rozsiane, śpiączka, zakażenie wirusem HIV w wyniku transfuzji krwi.</w:t>
      </w:r>
    </w:p>
    <w:p w:rsidR="002B2585" w:rsidRDefault="002B2585"/>
    <w:sectPr w:rsidR="002B2585" w:rsidSect="00190C87">
      <w:pgSz w:w="11906" w:h="16838" w:code="9"/>
      <w:pgMar w:top="0" w:right="926" w:bottom="360" w:left="1418" w:header="425" w:footer="454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1D0"/>
    <w:rsid w:val="00190C87"/>
    <w:rsid w:val="00210481"/>
    <w:rsid w:val="002B2585"/>
    <w:rsid w:val="00510FB5"/>
    <w:rsid w:val="005111D0"/>
    <w:rsid w:val="00544613"/>
    <w:rsid w:val="005D4E14"/>
    <w:rsid w:val="00956D56"/>
    <w:rsid w:val="00D3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Gabka</dc:creator>
  <cp:lastModifiedBy>Jolanta JS.</cp:lastModifiedBy>
  <cp:revision>2</cp:revision>
  <dcterms:created xsi:type="dcterms:W3CDTF">2016-04-19T09:08:00Z</dcterms:created>
  <dcterms:modified xsi:type="dcterms:W3CDTF">2016-04-19T09:08:00Z</dcterms:modified>
</cp:coreProperties>
</file>